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81FC" w14:textId="7E64B8ED" w:rsidR="00E21E1F" w:rsidRPr="00E21E1F" w:rsidRDefault="00E21E1F" w:rsidP="00E21E1F">
      <w:pPr>
        <w:spacing w:before="120" w:after="120" w:line="276" w:lineRule="auto"/>
        <w:jc w:val="center"/>
        <w:rPr>
          <w:rFonts w:ascii="Source Sans Pro" w:hAnsi="Source Sans Pro"/>
          <w:b/>
          <w:bCs/>
          <w:lang w:val="pt-PT"/>
        </w:rPr>
      </w:pPr>
      <w:r w:rsidRPr="00E21E1F">
        <w:rPr>
          <w:rFonts w:ascii="Source Sans Pro" w:hAnsi="Source Sans Pro"/>
          <w:b/>
          <w:bCs/>
          <w:lang w:val="pt-PT"/>
        </w:rPr>
        <w:t>COMUNICADO DE IMPRENSA</w:t>
      </w:r>
    </w:p>
    <w:p w14:paraId="01A1A2DA" w14:textId="77777777" w:rsidR="00E21E1F" w:rsidRPr="00E21E1F" w:rsidRDefault="00E21E1F" w:rsidP="00E21E1F">
      <w:pPr>
        <w:spacing w:before="120" w:after="120" w:line="276" w:lineRule="auto"/>
        <w:jc w:val="center"/>
        <w:rPr>
          <w:rFonts w:ascii="Source Sans Pro" w:hAnsi="Source Sans Pro"/>
          <w:b/>
          <w:bCs/>
          <w:sz w:val="14"/>
          <w:szCs w:val="14"/>
          <w:lang w:val="pt-PT"/>
        </w:rPr>
      </w:pPr>
    </w:p>
    <w:p w14:paraId="30F133E0" w14:textId="77777777" w:rsidR="00E21E1F" w:rsidRPr="00E21E1F" w:rsidRDefault="00E21E1F" w:rsidP="00E21E1F">
      <w:pPr>
        <w:spacing w:before="120" w:after="120" w:line="276" w:lineRule="auto"/>
        <w:jc w:val="both"/>
        <w:rPr>
          <w:rFonts w:ascii="Source Sans Pro" w:hAnsi="Source Sans Pro"/>
          <w:b/>
          <w:bCs/>
          <w:lang w:val="pt-PT"/>
        </w:rPr>
      </w:pPr>
      <w:r w:rsidRPr="00E21E1F">
        <w:rPr>
          <w:rFonts w:ascii="Source Sans Pro" w:hAnsi="Source Sans Pro"/>
          <w:b/>
          <w:bCs/>
          <w:lang w:val="pt-PT"/>
        </w:rPr>
        <w:t>A Comissão da CEDEAO e o South Centre felicitam a Autoridade Tributária da Libéria e a Autoridade Tributária Nacional da Serra Leoa pela assinatura do Memorando de Entendimento que operacionaliza o Exame Fiscal Simultâneo</w:t>
      </w:r>
    </w:p>
    <w:p w14:paraId="305FF86F" w14:textId="77777777" w:rsidR="00E21E1F" w:rsidRPr="00E21E1F" w:rsidRDefault="00E21E1F" w:rsidP="00E21E1F">
      <w:pPr>
        <w:spacing w:before="120" w:after="120" w:line="276" w:lineRule="auto"/>
        <w:jc w:val="both"/>
        <w:rPr>
          <w:rFonts w:ascii="Source Sans Pro" w:hAnsi="Source Sans Pro"/>
          <w:b/>
          <w:bCs/>
          <w:sz w:val="8"/>
          <w:szCs w:val="8"/>
          <w:lang w:val="pt-PT"/>
        </w:rPr>
      </w:pPr>
    </w:p>
    <w:p w14:paraId="0A29E24A" w14:textId="79175361" w:rsidR="008A1532" w:rsidRPr="00E21E1F" w:rsidRDefault="00E21E1F" w:rsidP="00E21E1F">
      <w:pPr>
        <w:spacing w:before="120" w:after="120" w:line="276" w:lineRule="auto"/>
        <w:jc w:val="center"/>
        <w:rPr>
          <w:rFonts w:ascii="Source Sans Pro" w:hAnsi="Source Sans Pro"/>
          <w:b/>
          <w:bCs/>
          <w:lang w:val="pt-PT"/>
        </w:rPr>
      </w:pPr>
      <w:r w:rsidRPr="00E21E1F">
        <w:rPr>
          <w:rFonts w:ascii="Source Sans Pro" w:hAnsi="Source Sans Pro"/>
          <w:b/>
          <w:bCs/>
          <w:lang w:val="pt-PT"/>
        </w:rPr>
        <w:t xml:space="preserve">Abuja e </w:t>
      </w:r>
      <w:r w:rsidRPr="00E21E1F">
        <w:rPr>
          <w:rFonts w:ascii="Source Sans Pro" w:hAnsi="Source Sans Pro"/>
          <w:b/>
          <w:bCs/>
          <w:i/>
          <w:iCs/>
          <w:lang w:val="pt-PT"/>
        </w:rPr>
        <w:t>Genebra</w:t>
      </w:r>
      <w:r w:rsidRPr="00E21E1F">
        <w:rPr>
          <w:rFonts w:ascii="Source Sans Pro" w:hAnsi="Source Sans Pro"/>
          <w:b/>
          <w:bCs/>
          <w:lang w:val="pt-PT"/>
        </w:rPr>
        <w:t>, 22 de junho de 2026</w:t>
      </w:r>
    </w:p>
    <w:p w14:paraId="4408A56B" w14:textId="77777777" w:rsidR="00E21E1F" w:rsidRPr="00E21E1F" w:rsidRDefault="00E21E1F" w:rsidP="00E21E1F">
      <w:pPr>
        <w:spacing w:before="120" w:after="120" w:line="276" w:lineRule="auto"/>
        <w:jc w:val="both"/>
        <w:rPr>
          <w:rFonts w:ascii="Source Sans Pro" w:hAnsi="Source Sans Pro"/>
          <w:i/>
          <w:iCs/>
          <w:sz w:val="6"/>
          <w:szCs w:val="6"/>
          <w:lang w:val="pt-PT"/>
        </w:rPr>
      </w:pPr>
    </w:p>
    <w:p w14:paraId="37EA6E6B" w14:textId="6B9280D7" w:rsidR="00E21E1F" w:rsidRPr="00E21E1F" w:rsidRDefault="00E21E1F" w:rsidP="00E21E1F">
      <w:pPr>
        <w:spacing w:before="120" w:after="120" w:line="276" w:lineRule="auto"/>
        <w:jc w:val="both"/>
        <w:rPr>
          <w:rFonts w:ascii="Source Sans Pro" w:hAnsi="Source Sans Pro"/>
          <w:lang w:val="pt-PT"/>
        </w:rPr>
      </w:pPr>
      <w:r w:rsidRPr="00E21E1F">
        <w:rPr>
          <w:rFonts w:ascii="Source Sans Pro" w:hAnsi="Source Sans Pro"/>
          <w:lang w:val="pt-PT"/>
        </w:rPr>
        <w:t>A Comissão da Comunidade Económica dos Estados da África Ocidental (CEDEAO) e o South Centre felicitam calorosamente o Comissário-Geral da Autoridade Tributária da Libéria (Liberia Revenue Authority – LRA) e o Comissário-Geral da Autoridade Tributária Nacional da Serra Leoa (National Revenue Authority – NRA) pela assinatura do Memorando de Entendimento (MoU) relativo à realização de uma Avaliação Fiscal Simultânea (Simultaneous Tax Examination – STE), assinalando um momento significativo na cooperação fiscal regional.</w:t>
      </w:r>
    </w:p>
    <w:p w14:paraId="379ADF9B" w14:textId="77777777" w:rsidR="00E21E1F" w:rsidRPr="00E21E1F" w:rsidRDefault="00E21E1F" w:rsidP="00E21E1F">
      <w:pPr>
        <w:spacing w:before="120" w:after="120" w:line="276" w:lineRule="auto"/>
        <w:jc w:val="both"/>
        <w:rPr>
          <w:rFonts w:ascii="Source Sans Pro" w:hAnsi="Source Sans Pro"/>
          <w:sz w:val="8"/>
          <w:szCs w:val="8"/>
          <w:lang w:val="pt-PT"/>
        </w:rPr>
      </w:pPr>
    </w:p>
    <w:p w14:paraId="4B8103E4" w14:textId="77777777" w:rsidR="00E21E1F" w:rsidRPr="00E21E1F" w:rsidRDefault="00E21E1F" w:rsidP="00E21E1F">
      <w:pPr>
        <w:spacing w:before="120" w:after="120" w:line="276" w:lineRule="auto"/>
        <w:jc w:val="both"/>
        <w:rPr>
          <w:rFonts w:ascii="Source Sans Pro" w:hAnsi="Source Sans Pro"/>
          <w:lang w:val="pt-PT"/>
        </w:rPr>
      </w:pPr>
      <w:r w:rsidRPr="00E21E1F">
        <w:rPr>
          <w:rFonts w:ascii="Source Sans Pro" w:hAnsi="Source Sans Pro"/>
          <w:lang w:val="pt-PT"/>
        </w:rPr>
        <w:t>Enquanto o primeiro STE em todo o Sul Global, este estabelece um precedente importante para a cooperação fiscal internacional. A liderança e o compromisso demonstrados por ambos os Comissários-Gerais foram determinantes para tornar esta iniciativa pioneira uma realidade.</w:t>
      </w:r>
    </w:p>
    <w:p w14:paraId="2F7F1FB7" w14:textId="77777777" w:rsidR="00E21E1F" w:rsidRPr="00E21E1F" w:rsidRDefault="00E21E1F" w:rsidP="00E21E1F">
      <w:pPr>
        <w:spacing w:before="120" w:after="120" w:line="276" w:lineRule="auto"/>
        <w:jc w:val="both"/>
        <w:rPr>
          <w:rFonts w:ascii="Source Sans Pro" w:hAnsi="Source Sans Pro"/>
          <w:sz w:val="8"/>
          <w:szCs w:val="8"/>
          <w:lang w:val="pt-PT"/>
        </w:rPr>
      </w:pPr>
    </w:p>
    <w:p w14:paraId="3AF079CF" w14:textId="77777777" w:rsidR="00E21E1F" w:rsidRPr="00E21E1F" w:rsidRDefault="00E21E1F" w:rsidP="00E21E1F">
      <w:pPr>
        <w:spacing w:before="120" w:after="120" w:line="276" w:lineRule="auto"/>
        <w:jc w:val="both"/>
        <w:rPr>
          <w:rFonts w:ascii="Source Sans Pro" w:hAnsi="Source Sans Pro"/>
          <w:lang w:val="pt-PT"/>
        </w:rPr>
      </w:pPr>
      <w:r w:rsidRPr="00E21E1F">
        <w:rPr>
          <w:rFonts w:ascii="Source Sans Pro" w:hAnsi="Source Sans Pro"/>
          <w:lang w:val="pt-PT"/>
        </w:rPr>
        <w:t>Este MoU marca a operacionalização formal do programa-piloto de auditoria fiscal simultânea liderado pela CEDEAO, anunciado em abril de 2026, traduzindo os compromissos jurídicos regionais previstos no Ato Adicional da CEDEAO sobre Assistência Administrativa Mútua em Matéria Fiscal em ações administrativas capazes de gerar benefícios concretos em termos de receitas para os Estados-Membros.</w:t>
      </w:r>
    </w:p>
    <w:p w14:paraId="367DDB3B" w14:textId="77777777" w:rsidR="00E21E1F" w:rsidRPr="00E21E1F" w:rsidRDefault="00E21E1F" w:rsidP="00E21E1F">
      <w:pPr>
        <w:spacing w:before="120" w:after="120" w:line="276" w:lineRule="auto"/>
        <w:jc w:val="both"/>
        <w:rPr>
          <w:rFonts w:ascii="Source Sans Pro" w:hAnsi="Source Sans Pro"/>
          <w:sz w:val="8"/>
          <w:szCs w:val="8"/>
          <w:lang w:val="pt-PT"/>
        </w:rPr>
      </w:pPr>
    </w:p>
    <w:p w14:paraId="155048E4" w14:textId="77777777" w:rsidR="00E21E1F" w:rsidRPr="00E21E1F" w:rsidRDefault="00E21E1F" w:rsidP="00E21E1F">
      <w:pPr>
        <w:spacing w:before="120" w:after="120" w:line="276" w:lineRule="auto"/>
        <w:jc w:val="both"/>
        <w:rPr>
          <w:rFonts w:ascii="Source Sans Pro" w:hAnsi="Source Sans Pro"/>
          <w:lang w:val="pt-PT"/>
        </w:rPr>
      </w:pPr>
      <w:r w:rsidRPr="00E21E1F">
        <w:rPr>
          <w:rFonts w:ascii="Source Sans Pro" w:hAnsi="Source Sans Pro"/>
          <w:lang w:val="pt-PT"/>
        </w:rPr>
        <w:t>A CEDEAO e o South Centre reafirmam o seu compromisso com o reforço da cooperação fiscal regional e com o apoio à mobilização de recursos internos dos seus Estados-Membros, em conformidade com a Agenda 2050 da CEDEAO e os Objetivos de Desenvolvimento Sustentável.</w:t>
      </w:r>
    </w:p>
    <w:p w14:paraId="4409203B" w14:textId="77777777" w:rsidR="00E21E1F" w:rsidRPr="00E21E1F" w:rsidRDefault="00E21E1F" w:rsidP="00E21E1F">
      <w:pPr>
        <w:spacing w:before="120" w:after="120" w:line="276" w:lineRule="auto"/>
        <w:jc w:val="both"/>
        <w:rPr>
          <w:rFonts w:ascii="Source Sans Pro" w:hAnsi="Source Sans Pro"/>
          <w:sz w:val="8"/>
          <w:szCs w:val="8"/>
          <w:lang w:val="pt-PT"/>
        </w:rPr>
      </w:pPr>
    </w:p>
    <w:p w14:paraId="3B038085" w14:textId="2D264343" w:rsidR="00CF2430" w:rsidRPr="00E21E1F" w:rsidRDefault="00E21E1F" w:rsidP="00E21E1F">
      <w:pPr>
        <w:spacing w:before="120" w:after="120" w:line="276" w:lineRule="auto"/>
        <w:jc w:val="both"/>
        <w:rPr>
          <w:rFonts w:ascii="Source Sans Pro" w:hAnsi="Source Sans Pro"/>
          <w:lang w:val="pt-PT"/>
        </w:rPr>
      </w:pPr>
      <w:r w:rsidRPr="00E21E1F">
        <w:rPr>
          <w:rFonts w:ascii="Source Sans Pro" w:hAnsi="Source Sans Pro"/>
          <w:lang w:val="pt-PT"/>
        </w:rPr>
        <w:t>A CEDEAO e o South Centre manifestam o seu pleno apoio à LRA e à NRA na implementação desta iniciativa histórica, que servirá de modelo replicável para futuros STE multilaterais e bilaterais entre outros Estados-Membros da CEDEAO.</w:t>
      </w:r>
    </w:p>
    <w:p w14:paraId="5D7E9B39" w14:textId="69AAB2F3" w:rsidR="00594DA2" w:rsidRPr="00E21E1F" w:rsidRDefault="00E21E1F" w:rsidP="00E21E1F">
      <w:pPr>
        <w:spacing w:before="120" w:after="120" w:line="276" w:lineRule="auto"/>
        <w:jc w:val="both"/>
        <w:rPr>
          <w:rFonts w:ascii="Source Sans Pro" w:hAnsi="Source Sans Pro"/>
          <w:i/>
          <w:iCs/>
          <w:color w:val="4A4A4A"/>
          <w:sz w:val="18"/>
          <w:szCs w:val="18"/>
          <w:lang w:val="pt-PT"/>
        </w:rPr>
      </w:pPr>
      <w:r w:rsidRPr="00E21E1F">
        <w:rPr>
          <w:rFonts w:ascii="Source Sans Pro" w:hAnsi="Source Sans Pro"/>
          <w:i/>
          <w:iCs/>
          <w:color w:val="4A4A4A"/>
          <w:sz w:val="18"/>
          <w:szCs w:val="18"/>
          <w:lang w:val="pt-PT"/>
        </w:rPr>
        <w:t xml:space="preserve">Para pedidos de informação, contacte a Direção da União Aduaneira e Fiscalidade da Comissão da CEDEAO através do endereço </w:t>
      </w:r>
      <w:hyperlink r:id="rId9" w:history="1">
        <w:r w:rsidRPr="00E21E1F">
          <w:rPr>
            <w:rStyle w:val="Hyperlink"/>
            <w:rFonts w:ascii="Source Sans Pro" w:hAnsi="Source Sans Pro"/>
            <w:i/>
            <w:iCs/>
            <w:sz w:val="18"/>
            <w:szCs w:val="18"/>
            <w:lang w:val="pt-PT"/>
          </w:rPr>
          <w:t>info@ecowas.int</w:t>
        </w:r>
      </w:hyperlink>
      <w:r w:rsidRPr="00E21E1F">
        <w:rPr>
          <w:rFonts w:ascii="Source Sans Pro" w:hAnsi="Source Sans Pro"/>
          <w:i/>
          <w:iCs/>
          <w:color w:val="4A4A4A"/>
          <w:sz w:val="18"/>
          <w:szCs w:val="18"/>
          <w:lang w:val="pt-PT"/>
        </w:rPr>
        <w:t xml:space="preserve">  ou a Iniciativa Fiscal do South Centre através do endereço </w:t>
      </w:r>
      <w:hyperlink r:id="rId10" w:history="1">
        <w:r w:rsidRPr="00E21E1F">
          <w:rPr>
            <w:rStyle w:val="Hyperlink"/>
            <w:rFonts w:ascii="Source Sans Pro" w:hAnsi="Source Sans Pro"/>
            <w:i/>
            <w:iCs/>
            <w:sz w:val="18"/>
            <w:szCs w:val="18"/>
            <w:lang w:val="pt-PT"/>
          </w:rPr>
          <w:t>taxcooperation@southcentre.int</w:t>
        </w:r>
      </w:hyperlink>
      <w:r w:rsidRPr="00E21E1F">
        <w:rPr>
          <w:rFonts w:ascii="Source Sans Pro" w:hAnsi="Source Sans Pro"/>
          <w:i/>
          <w:iCs/>
          <w:color w:val="4A4A4A"/>
          <w:sz w:val="18"/>
          <w:szCs w:val="18"/>
          <w:lang w:val="pt-PT"/>
        </w:rPr>
        <w:t xml:space="preserve">. </w:t>
      </w:r>
    </w:p>
    <w:p w14:paraId="56B54574" w14:textId="3963A58D" w:rsidR="00594DA2" w:rsidRPr="00492B3A" w:rsidRDefault="00492B3A" w:rsidP="00E21E1F">
      <w:pPr>
        <w:spacing w:line="276" w:lineRule="auto"/>
        <w:jc w:val="both"/>
        <w:rPr>
          <w:rFonts w:ascii="Source Sans Pro" w:hAnsi="Source Sans Pro"/>
          <w:i/>
          <w:iCs/>
          <w:color w:val="4A4A4A"/>
          <w:lang w:val="pt-PT"/>
        </w:rPr>
      </w:pPr>
      <w:r>
        <w:rPr>
          <w:noProof/>
        </w:rPr>
        <w:lastRenderedPageBreak/>
        <w:drawing>
          <wp:inline distT="0" distB="0" distL="0" distR="0" wp14:anchorId="55E96442" wp14:editId="13297B16">
            <wp:extent cx="5731510" cy="3916680"/>
            <wp:effectExtent l="0" t="0" r="2540" b="7620"/>
            <wp:docPr id="1900442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16680"/>
                    </a:xfrm>
                    <a:prstGeom prst="rect">
                      <a:avLst/>
                    </a:prstGeom>
                    <a:noFill/>
                    <a:ln>
                      <a:noFill/>
                    </a:ln>
                  </pic:spPr>
                </pic:pic>
              </a:graphicData>
            </a:graphic>
          </wp:inline>
        </w:drawing>
      </w:r>
      <w:r>
        <w:rPr>
          <w:noProof/>
        </w:rPr>
        <w:drawing>
          <wp:inline distT="0" distB="0" distL="0" distR="0" wp14:anchorId="75B82585" wp14:editId="6018F079">
            <wp:extent cx="5731510" cy="3826510"/>
            <wp:effectExtent l="0" t="0" r="2540" b="2540"/>
            <wp:docPr id="94753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26510"/>
                    </a:xfrm>
                    <a:prstGeom prst="rect">
                      <a:avLst/>
                    </a:prstGeom>
                    <a:noFill/>
                    <a:ln>
                      <a:noFill/>
                    </a:ln>
                  </pic:spPr>
                </pic:pic>
              </a:graphicData>
            </a:graphic>
          </wp:inline>
        </w:drawing>
      </w:r>
    </w:p>
    <w:sectPr w:rsidR="00594DA2" w:rsidRPr="00492B3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C5A4" w14:textId="77777777" w:rsidR="005D2B83" w:rsidRDefault="005D2B83" w:rsidP="00035330">
      <w:pPr>
        <w:spacing w:after="0" w:line="240" w:lineRule="auto"/>
      </w:pPr>
      <w:r>
        <w:separator/>
      </w:r>
    </w:p>
  </w:endnote>
  <w:endnote w:type="continuationSeparator" w:id="0">
    <w:p w14:paraId="0CD65DE3" w14:textId="77777777" w:rsidR="005D2B83" w:rsidRDefault="005D2B83" w:rsidP="0003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C5CF" w14:textId="77777777" w:rsidR="005D2B83" w:rsidRDefault="005D2B83" w:rsidP="00035330">
      <w:pPr>
        <w:spacing w:after="0" w:line="240" w:lineRule="auto"/>
      </w:pPr>
      <w:r>
        <w:separator/>
      </w:r>
    </w:p>
  </w:footnote>
  <w:footnote w:type="continuationSeparator" w:id="0">
    <w:p w14:paraId="6D6626A9" w14:textId="77777777" w:rsidR="005D2B83" w:rsidRDefault="005D2B83" w:rsidP="0003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7622" w14:textId="0F1DB877" w:rsidR="00035330" w:rsidRDefault="001331F7">
    <w:pPr>
      <w:pStyle w:val="Header"/>
    </w:pPr>
    <w:r>
      <w:rPr>
        <w:noProof/>
      </w:rPr>
      <w:drawing>
        <wp:anchor distT="0" distB="0" distL="114300" distR="114300" simplePos="0" relativeHeight="251661312" behindDoc="0" locked="0" layoutInCell="1" allowOverlap="1" wp14:anchorId="3950B121" wp14:editId="602C449E">
          <wp:simplePos x="0" y="0"/>
          <wp:positionH relativeFrom="column">
            <wp:posOffset>4635568</wp:posOffset>
          </wp:positionH>
          <wp:positionV relativeFrom="paragraph">
            <wp:posOffset>-39513</wp:posOffset>
          </wp:positionV>
          <wp:extent cx="1086728" cy="768350"/>
          <wp:effectExtent l="0" t="0" r="0" b="0"/>
          <wp:wrapNone/>
          <wp:docPr id="167261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728"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330">
      <w:rPr>
        <w:noProof/>
      </w:rPr>
      <w:drawing>
        <wp:anchor distT="0" distB="0" distL="114300" distR="114300" simplePos="0" relativeHeight="251659264" behindDoc="0" locked="0" layoutInCell="1" allowOverlap="1" wp14:anchorId="40D09110" wp14:editId="6D2EB3F9">
          <wp:simplePos x="0" y="0"/>
          <wp:positionH relativeFrom="column">
            <wp:posOffset>0</wp:posOffset>
          </wp:positionH>
          <wp:positionV relativeFrom="paragraph">
            <wp:posOffset>14757</wp:posOffset>
          </wp:positionV>
          <wp:extent cx="2085975" cy="768350"/>
          <wp:effectExtent l="0" t="0" r="9525" b="0"/>
          <wp:wrapNone/>
          <wp:docPr id="2078624560" name="Picture 20786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OWAS Signet horizontal.png"/>
                  <pic:cNvPicPr/>
                </pic:nvPicPr>
                <pic:blipFill>
                  <a:blip r:embed="rId2">
                    <a:extLst>
                      <a:ext uri="{28A0092B-C50C-407E-A947-70E740481C1C}">
                        <a14:useLocalDpi xmlns:a14="http://schemas.microsoft.com/office/drawing/2010/main" val="0"/>
                      </a:ext>
                    </a:extLst>
                  </a:blip>
                  <a:stretch>
                    <a:fillRect/>
                  </a:stretch>
                </pic:blipFill>
                <pic:spPr>
                  <a:xfrm>
                    <a:off x="0" y="0"/>
                    <a:ext cx="2085975" cy="768350"/>
                  </a:xfrm>
                  <a:prstGeom prst="rect">
                    <a:avLst/>
                  </a:prstGeom>
                </pic:spPr>
              </pic:pic>
            </a:graphicData>
          </a:graphic>
          <wp14:sizeRelH relativeFrom="margin">
            <wp14:pctWidth>0</wp14:pctWidth>
          </wp14:sizeRelH>
          <wp14:sizeRelV relativeFrom="margin">
            <wp14:pctHeight>0</wp14:pctHeight>
          </wp14:sizeRelV>
        </wp:anchor>
      </w:drawing>
    </w:r>
  </w:p>
  <w:p w14:paraId="5304B823" w14:textId="2DB18A91" w:rsidR="00035330" w:rsidRDefault="00035330">
    <w:pPr>
      <w:pStyle w:val="Header"/>
    </w:pPr>
  </w:p>
  <w:p w14:paraId="0E2513AF" w14:textId="411D0191" w:rsidR="00035330" w:rsidRDefault="00035330">
    <w:pPr>
      <w:pStyle w:val="Header"/>
    </w:pPr>
  </w:p>
  <w:p w14:paraId="2BCDBA14" w14:textId="0C020453" w:rsidR="00035330" w:rsidRDefault="00035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C6"/>
    <w:rsid w:val="000117A7"/>
    <w:rsid w:val="000171E7"/>
    <w:rsid w:val="00035330"/>
    <w:rsid w:val="001331F7"/>
    <w:rsid w:val="001A7E75"/>
    <w:rsid w:val="001D4D27"/>
    <w:rsid w:val="002A45D4"/>
    <w:rsid w:val="00312E17"/>
    <w:rsid w:val="003171D5"/>
    <w:rsid w:val="003E765D"/>
    <w:rsid w:val="00476B61"/>
    <w:rsid w:val="00492B3A"/>
    <w:rsid w:val="00594DA2"/>
    <w:rsid w:val="005A6599"/>
    <w:rsid w:val="005D2B83"/>
    <w:rsid w:val="005E0CC6"/>
    <w:rsid w:val="0062070E"/>
    <w:rsid w:val="006230BA"/>
    <w:rsid w:val="00636E38"/>
    <w:rsid w:val="006C4112"/>
    <w:rsid w:val="006D566E"/>
    <w:rsid w:val="00714A1A"/>
    <w:rsid w:val="00734721"/>
    <w:rsid w:val="0083412B"/>
    <w:rsid w:val="0088215D"/>
    <w:rsid w:val="008A1532"/>
    <w:rsid w:val="00953A40"/>
    <w:rsid w:val="009D51C6"/>
    <w:rsid w:val="00A25E8F"/>
    <w:rsid w:val="00A34C0C"/>
    <w:rsid w:val="00B04B3C"/>
    <w:rsid w:val="00B6134C"/>
    <w:rsid w:val="00B829D5"/>
    <w:rsid w:val="00BC6132"/>
    <w:rsid w:val="00BE0E26"/>
    <w:rsid w:val="00C42558"/>
    <w:rsid w:val="00C549C1"/>
    <w:rsid w:val="00C56AE9"/>
    <w:rsid w:val="00C61C6E"/>
    <w:rsid w:val="00C77322"/>
    <w:rsid w:val="00CA2856"/>
    <w:rsid w:val="00CA4B9C"/>
    <w:rsid w:val="00CF2430"/>
    <w:rsid w:val="00D3724D"/>
    <w:rsid w:val="00DE0166"/>
    <w:rsid w:val="00E21E1F"/>
    <w:rsid w:val="00E33EDB"/>
    <w:rsid w:val="00E34247"/>
    <w:rsid w:val="00E46960"/>
    <w:rsid w:val="00EA3B62"/>
    <w:rsid w:val="00F15881"/>
    <w:rsid w:val="00FD1037"/>
    <w:rsid w:val="00FF0E24"/>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BFD9"/>
  <w15:chartTrackingRefBased/>
  <w15:docId w15:val="{A90A6D5D-1F44-47F2-966C-215CA896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CC6"/>
    <w:rPr>
      <w:rFonts w:eastAsiaTheme="majorEastAsia" w:cstheme="majorBidi"/>
      <w:color w:val="272727" w:themeColor="text1" w:themeTint="D8"/>
    </w:rPr>
  </w:style>
  <w:style w:type="paragraph" w:styleId="Title">
    <w:name w:val="Title"/>
    <w:basedOn w:val="Normal"/>
    <w:next w:val="Normal"/>
    <w:link w:val="TitleChar"/>
    <w:uiPriority w:val="10"/>
    <w:qFormat/>
    <w:rsid w:val="005E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CC6"/>
    <w:pPr>
      <w:spacing w:before="160"/>
      <w:jc w:val="center"/>
    </w:pPr>
    <w:rPr>
      <w:i/>
      <w:iCs/>
      <w:color w:val="404040" w:themeColor="text1" w:themeTint="BF"/>
    </w:rPr>
  </w:style>
  <w:style w:type="character" w:customStyle="1" w:styleId="QuoteChar">
    <w:name w:val="Quote Char"/>
    <w:basedOn w:val="DefaultParagraphFont"/>
    <w:link w:val="Quote"/>
    <w:uiPriority w:val="29"/>
    <w:rsid w:val="005E0CC6"/>
    <w:rPr>
      <w:i/>
      <w:iCs/>
      <w:color w:val="404040" w:themeColor="text1" w:themeTint="BF"/>
    </w:rPr>
  </w:style>
  <w:style w:type="paragraph" w:styleId="ListParagraph">
    <w:name w:val="List Paragraph"/>
    <w:basedOn w:val="Normal"/>
    <w:uiPriority w:val="34"/>
    <w:qFormat/>
    <w:rsid w:val="005E0CC6"/>
    <w:pPr>
      <w:ind w:left="720"/>
      <w:contextualSpacing/>
    </w:pPr>
  </w:style>
  <w:style w:type="character" w:styleId="IntenseEmphasis">
    <w:name w:val="Intense Emphasis"/>
    <w:basedOn w:val="DefaultParagraphFont"/>
    <w:uiPriority w:val="21"/>
    <w:qFormat/>
    <w:rsid w:val="005E0CC6"/>
    <w:rPr>
      <w:i/>
      <w:iCs/>
      <w:color w:val="0F4761" w:themeColor="accent1" w:themeShade="BF"/>
    </w:rPr>
  </w:style>
  <w:style w:type="paragraph" w:styleId="IntenseQuote">
    <w:name w:val="Intense Quote"/>
    <w:basedOn w:val="Normal"/>
    <w:next w:val="Normal"/>
    <w:link w:val="IntenseQuoteChar"/>
    <w:uiPriority w:val="30"/>
    <w:qFormat/>
    <w:rsid w:val="005E0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CC6"/>
    <w:rPr>
      <w:i/>
      <w:iCs/>
      <w:color w:val="0F4761" w:themeColor="accent1" w:themeShade="BF"/>
    </w:rPr>
  </w:style>
  <w:style w:type="character" w:styleId="IntenseReference">
    <w:name w:val="Intense Reference"/>
    <w:basedOn w:val="DefaultParagraphFont"/>
    <w:uiPriority w:val="32"/>
    <w:qFormat/>
    <w:rsid w:val="005E0CC6"/>
    <w:rPr>
      <w:b/>
      <w:bCs/>
      <w:smallCaps/>
      <w:color w:val="0F4761" w:themeColor="accent1" w:themeShade="BF"/>
      <w:spacing w:val="5"/>
    </w:rPr>
  </w:style>
  <w:style w:type="character" w:styleId="Hyperlink">
    <w:name w:val="Hyperlink"/>
    <w:basedOn w:val="DefaultParagraphFont"/>
    <w:uiPriority w:val="99"/>
    <w:unhideWhenUsed/>
    <w:rsid w:val="003E765D"/>
    <w:rPr>
      <w:color w:val="467886" w:themeColor="hyperlink"/>
      <w:u w:val="single"/>
    </w:rPr>
  </w:style>
  <w:style w:type="character" w:styleId="UnresolvedMention">
    <w:name w:val="Unresolved Mention"/>
    <w:basedOn w:val="DefaultParagraphFont"/>
    <w:uiPriority w:val="99"/>
    <w:semiHidden/>
    <w:unhideWhenUsed/>
    <w:rsid w:val="003E765D"/>
    <w:rPr>
      <w:color w:val="605E5C"/>
      <w:shd w:val="clear" w:color="auto" w:fill="E1DFDD"/>
    </w:rPr>
  </w:style>
  <w:style w:type="paragraph" w:styleId="Revision">
    <w:name w:val="Revision"/>
    <w:hidden/>
    <w:uiPriority w:val="99"/>
    <w:semiHidden/>
    <w:rsid w:val="001A7E75"/>
    <w:pPr>
      <w:spacing w:after="0" w:line="240" w:lineRule="auto"/>
    </w:pPr>
  </w:style>
  <w:style w:type="paragraph" w:styleId="Header">
    <w:name w:val="header"/>
    <w:basedOn w:val="Normal"/>
    <w:link w:val="HeaderChar"/>
    <w:uiPriority w:val="99"/>
    <w:unhideWhenUsed/>
    <w:rsid w:val="0003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30"/>
  </w:style>
  <w:style w:type="paragraph" w:styleId="Footer">
    <w:name w:val="footer"/>
    <w:basedOn w:val="Normal"/>
    <w:link w:val="FooterChar"/>
    <w:uiPriority w:val="99"/>
    <w:unhideWhenUsed/>
    <w:rsid w:val="0003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30"/>
  </w:style>
  <w:style w:type="table" w:styleId="TableGrid">
    <w:name w:val="Table Grid"/>
    <w:basedOn w:val="TableNormal"/>
    <w:uiPriority w:val="39"/>
    <w:rsid w:val="0095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2240">
      <w:bodyDiv w:val="1"/>
      <w:marLeft w:val="0"/>
      <w:marRight w:val="0"/>
      <w:marTop w:val="0"/>
      <w:marBottom w:val="0"/>
      <w:divBdr>
        <w:top w:val="none" w:sz="0" w:space="0" w:color="auto"/>
        <w:left w:val="none" w:sz="0" w:space="0" w:color="auto"/>
        <w:bottom w:val="none" w:sz="0" w:space="0" w:color="auto"/>
        <w:right w:val="none" w:sz="0" w:space="0" w:color="auto"/>
      </w:divBdr>
    </w:div>
    <w:div w:id="19540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xcooperation@southcentre.int" TargetMode="External"/><Relationship Id="rId4" Type="http://schemas.openxmlformats.org/officeDocument/2006/relationships/styles" Target="styles.xml"/><Relationship Id="rId9" Type="http://schemas.openxmlformats.org/officeDocument/2006/relationships/hyperlink" Target="mailto:info@ecowas.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760e90-e588-4f4c-9552-c0c54390157a" xsi:nil="true"/>
    <lcf76f155ced4ddcb4097134ff3c332f xmlns="efab57b5-c164-4d55-b9d3-b562f7af98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6D5BB45D74C4FA57BA7D6BD51A905" ma:contentTypeVersion="20" ma:contentTypeDescription="Create a new document." ma:contentTypeScope="" ma:versionID="97139092d4160230daa529664f4a80d8">
  <xsd:schema xmlns:xsd="http://www.w3.org/2001/XMLSchema" xmlns:xs="http://www.w3.org/2001/XMLSchema" xmlns:p="http://schemas.microsoft.com/office/2006/metadata/properties" xmlns:ns2="efab57b5-c164-4d55-b9d3-b562f7af9877" xmlns:ns3="9d760e90-e588-4f4c-9552-c0c54390157a" targetNamespace="http://schemas.microsoft.com/office/2006/metadata/properties" ma:root="true" ma:fieldsID="e1e251492ce44577115bde48c184d9aa" ns2:_="" ns3:_="">
    <xsd:import namespace="efab57b5-c164-4d55-b9d3-b562f7af9877"/>
    <xsd:import namespace="9d760e90-e588-4f4c-9552-c0c54390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57b5-c164-4d55-b9d3-b562f7af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f88a9e-3ff4-4d60-a995-4daa14e7b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60e90-e588-4f4c-9552-c0c543901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de5aa-cddf-465e-a8b8-1d45c56fecfb}" ma:internalName="TaxCatchAll" ma:showField="CatchAllData" ma:web="9d760e90-e588-4f4c-9552-c0c543901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D926F-92CF-4022-B2A2-1E0982008FED}">
  <ds:schemaRefs>
    <ds:schemaRef ds:uri="http://schemas.microsoft.com/office/2006/metadata/properties"/>
    <ds:schemaRef ds:uri="http://schemas.microsoft.com/office/infopath/2007/PartnerControls"/>
    <ds:schemaRef ds:uri="9d760e90-e588-4f4c-9552-c0c54390157a"/>
    <ds:schemaRef ds:uri="efab57b5-c164-4d55-b9d3-b562f7af9877"/>
  </ds:schemaRefs>
</ds:datastoreItem>
</file>

<file path=customXml/itemProps2.xml><?xml version="1.0" encoding="utf-8"?>
<ds:datastoreItem xmlns:ds="http://schemas.openxmlformats.org/officeDocument/2006/customXml" ds:itemID="{AEAAADB7-1BAF-4B9B-858D-4C6B6C94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57b5-c164-4d55-b9d3-b562f7af9877"/>
    <ds:schemaRef ds:uri="9d760e90-e588-4f4c-9552-c0c54390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5BDF3-7943-4869-A0D8-CEBBBA610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Abdul Muheet Chowdhary</cp:lastModifiedBy>
  <cp:revision>3</cp:revision>
  <dcterms:created xsi:type="dcterms:W3CDTF">2026-06-22T10:44:00Z</dcterms:created>
  <dcterms:modified xsi:type="dcterms:W3CDTF">2026-06-22T11:33:00Z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0x010100EE76D5BB45D74C4FA57BA7D6BD51A905</vt:lpwstr>
  </property>
  <property fmtid="{D5CDD505-2E9C-101B-9397-08002B2CF9AE}" pid="3" name="MediaServiceImageTags">
    <vt:lpwstr/>
  </property>
</Properties>
</file>